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A6" w:rsidRDefault="005F62A6" w:rsidP="005F62A6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</w:pPr>
      <w:r w:rsidRPr="005F62A6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>Выписка из основной образовательной программы начального общего образования МОАУ «Гимназия №3», утвержденной приказом от</w:t>
      </w:r>
      <w:r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 29.08.2023 № 01/11 -208</w:t>
      </w:r>
    </w:p>
    <w:p w:rsidR="005F62A6" w:rsidRDefault="005F62A6" w:rsidP="005F62A6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</w:pPr>
      <w:r w:rsidRPr="005F62A6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 Выписка верна: </w:t>
      </w:r>
      <w:r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>29</w:t>
      </w:r>
      <w:r w:rsidRPr="005F62A6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 августа 2023           </w:t>
      </w:r>
    </w:p>
    <w:p w:rsidR="005F62A6" w:rsidRPr="005F62A6" w:rsidRDefault="005F62A6" w:rsidP="005F62A6">
      <w:pPr>
        <w:keepNext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44"/>
          <w:szCs w:val="44"/>
        </w:rPr>
      </w:pPr>
      <w:r w:rsidRPr="005F62A6">
        <w:rPr>
          <w:rFonts w:ascii="Times New Roman" w:eastAsia="Times New Roman" w:hAnsi="Times New Roman" w:cs="OfficinaSansMediumITC"/>
          <w:b/>
          <w:bCs/>
          <w:caps/>
          <w:color w:val="000000"/>
          <w:position w:val="6"/>
          <w:lang w:eastAsia="ru-RU"/>
        </w:rPr>
        <w:t xml:space="preserve">Директор __________В.В. Чихирников </w:t>
      </w:r>
    </w:p>
    <w:p w:rsidR="005F62A6" w:rsidRPr="005F62A6" w:rsidRDefault="005F62A6" w:rsidP="005F62A6">
      <w:pPr>
        <w:tabs>
          <w:tab w:val="left" w:pos="3080"/>
          <w:tab w:val="center" w:pos="4677"/>
          <w:tab w:val="center" w:pos="5233"/>
          <w:tab w:val="left" w:pos="6612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A1" w:rsidRPr="000613F6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F6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общеобразовательного автономного учреждения "Гимназ</w:t>
      </w:r>
      <w:bookmarkStart w:id="0" w:name="_GoBack"/>
      <w:bookmarkEnd w:id="0"/>
      <w:r w:rsidRPr="00CD18A1">
        <w:rPr>
          <w:rFonts w:ascii="Times New Roman" w:hAnsi="Times New Roman" w:cs="Times New Roman"/>
          <w:sz w:val="24"/>
          <w:szCs w:val="24"/>
        </w:rPr>
        <w:t xml:space="preserve">ия №3"(далее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>ОАУ «Гимназия №3», учебный план) для 1-4 классов, реализующий основную образовательную программу начального общего образования, соответствующий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МОАУ  "Гимназия №3", разработанный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МОАУ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>имназия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№3"начинается01.09.2023.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Максимальный объем аудиторной нагрузки обучающихся в неделю составляет в 1 классе - 21 час, во 2 – 4 классах – 23 часа.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первоклассников предусмотрены дополнительные недельные каникулы в середине третьей четверти.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Суммарный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осуществляется координация и контроль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5-и - дневной учебной неделе.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 МОАУ  "Гимназия №3» языком обучения является русский язык.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При изучении предметов иностранный язык осуществляется деление учащихся на подгруппы.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 xml:space="preserve">Рубежная аттестация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части содержания всего объема учебной дисциплины за учебный год (годовое оценивание). Промежуточная аттестация проходит в конце учебного года. Формы и порядок проведения промежуточной аттестации определяются «Положением о формах, периодичности и порядке</w:t>
      </w:r>
      <w:r w:rsidRPr="00CD18A1">
        <w:rPr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обучающихся Муниципальное общеобразовательное автономное учреждение "Гимназия №3".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литературное чтение» включает в себя учебные предметы «Русский язык» и «Литературное чтение».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общего образования (далее — ФГОС НОО)</w:t>
      </w:r>
      <w:r w:rsidRPr="00CD18A1">
        <w:rPr>
          <w:rFonts w:ascii="Times New Roman" w:hAnsi="Times New Roman" w:cs="Times New Roman"/>
          <w:sz w:val="24"/>
          <w:szCs w:val="24"/>
        </w:rPr>
        <w:footnoteReference w:id="1"/>
      </w:r>
      <w:r w:rsidRPr="00CD18A1">
        <w:rPr>
          <w:rFonts w:ascii="Times New Roman" w:hAnsi="Times New Roman" w:cs="Times New Roman"/>
          <w:sz w:val="24"/>
          <w:szCs w:val="24"/>
        </w:rPr>
        <w:t>, а также ориентирована на целевые приоритеты, сформулированные в Программе воспитания</w:t>
      </w:r>
      <w:r w:rsidRPr="00CD18A1">
        <w:rPr>
          <w:rFonts w:ascii="Times New Roman" w:hAnsi="Times New Roman" w:cs="Times New Roman"/>
          <w:sz w:val="24"/>
          <w:szCs w:val="24"/>
        </w:rPr>
        <w:footnoteReference w:id="2"/>
      </w:r>
      <w:r w:rsidRPr="00CD18A1">
        <w:rPr>
          <w:rFonts w:ascii="Times New Roman" w:hAnsi="Times New Roman" w:cs="Times New Roman"/>
          <w:sz w:val="24"/>
          <w:szCs w:val="24"/>
        </w:rPr>
        <w:t>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 формировании самосознания и мировоззрения личности, является важнейшим средством хранения и передачи информации,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>—</w:t>
      </w:r>
      <w:r w:rsidRPr="00CD18A1">
        <w:rPr>
          <w:rFonts w:ascii="Times New Roman" w:hAnsi="Times New Roman" w:cs="Times New Roman"/>
          <w:sz w:val="24"/>
          <w:szCs w:val="24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</w:t>
      </w:r>
      <w:r w:rsidRPr="00CD18A1">
        <w:rPr>
          <w:rFonts w:ascii="Times New Roman" w:hAnsi="Times New Roman" w:cs="Times New Roman"/>
          <w:sz w:val="24"/>
          <w:szCs w:val="24"/>
        </w:rPr>
        <w:tab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, говорением, чтением, письмом;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</w:t>
      </w:r>
      <w:r w:rsidRPr="00CD18A1">
        <w:rPr>
          <w:rFonts w:ascii="Times New Roman" w:hAnsi="Times New Roman" w:cs="Times New Roman"/>
          <w:sz w:val="24"/>
          <w:szCs w:val="24"/>
        </w:rPr>
        <w:tab/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</w:t>
      </w:r>
      <w:r w:rsidRPr="00CD18A1">
        <w:rPr>
          <w:rFonts w:ascii="Times New Roman" w:hAnsi="Times New Roman" w:cs="Times New Roman"/>
          <w:sz w:val="24"/>
          <w:szCs w:val="24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— 675 (5 часов в неделю в каждом классе): в 1 классе — 165 ч, во 2—4 классах — по 170 ч.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lastRenderedPageBreak/>
        <w:t>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</w:t>
      </w:r>
      <w:r w:rsidRPr="00CD18A1">
        <w:rPr>
          <w:rFonts w:ascii="Times New Roman" w:hAnsi="Times New Roman" w:cs="Times New Roman"/>
          <w:sz w:val="24"/>
          <w:szCs w:val="24"/>
        </w:rPr>
        <w:footnoteReference w:id="3"/>
      </w:r>
      <w:r w:rsidRPr="00CD18A1">
        <w:rPr>
          <w:rFonts w:ascii="Times New Roman" w:hAnsi="Times New Roman" w:cs="Times New Roman"/>
          <w:sz w:val="24"/>
          <w:szCs w:val="24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</w:t>
      </w:r>
      <w:r w:rsidRPr="00CD18A1">
        <w:rPr>
          <w:rFonts w:ascii="Times New Roman" w:hAnsi="Times New Roman" w:cs="Times New Roman"/>
          <w:sz w:val="24"/>
          <w:szCs w:val="24"/>
        </w:rPr>
        <w:footnoteReference w:id="4"/>
      </w:r>
      <w:r w:rsidRPr="00CD18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 xml:space="preserve"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-достижение необходимого для продолжения образования уровня общего речевого развития;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-для решения учебных задач.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«Обучение грамоте»</w:t>
      </w:r>
      <w:r w:rsidRPr="00CD18A1">
        <w:rPr>
          <w:rFonts w:ascii="Times New Roman" w:hAnsi="Times New Roman" w:cs="Times New Roman"/>
          <w:sz w:val="24"/>
          <w:szCs w:val="24"/>
        </w:rPr>
        <w:footnoteReference w:id="5"/>
      </w:r>
      <w:r w:rsidRPr="00CD18A1">
        <w:rPr>
          <w:rFonts w:ascii="Times New Roman" w:hAnsi="Times New Roman" w:cs="Times New Roman"/>
          <w:sz w:val="24"/>
          <w:szCs w:val="24"/>
        </w:rPr>
        <w:t xml:space="preserve">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«Иностранный язык».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и Универсального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кодификатора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(одобрено решением ФУМО).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Цели обучения иностранному языку в начальной школе можно условно разделить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образовательные, развивающие, воспитывающие.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 xml:space="preserve">формирование элементарной иноязычной коммуникативной компетенции, т. е. способности и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готовности общаться с носителями изучаемого иностранного языка в устной (говорение и 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) и письменной (чтение и письмо) форме с учётом возрастных возможностей и потребностей младшего школьника;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 (сравнение, анализ, обобщение и др.);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Развивающие цели учебного предмета «Иностранный (английский) язык» в начальной школе включают: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осознание младшими школьниками роли языков как средства межличностного и межкультурного взаимодействия в условиях поликультурного, многоязычного мира и инструмента познания мира и культуры других народов;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развитие компенсаторной способности адаптироваться к ситуациям общения при получении и передаче информации в условиях дефицита языковых средств;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 — 68 часов, 3 класс — 68 часов, 4 класс — 68 часов.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 «Математика и информатика» представлена предметом «Математика».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Программа по математике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 xml:space="preserve">- формирование функциональной математической грамотности обучающегося, которая характеризуется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 – меньше», «равно – 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>- обеспечение математического развития,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При распределении часов учебного плана в части формируемой участниками образовательных отношений проводилось анкетирование родителей (законных представителей) обучающихся. По результатам анализа  анкетирования родителей (законных представителей) 1 час из части учебного плана, формируемой участниками образовательных отношений, было принято решение выделить на изучение математики в 1-3 классах. Так как на уровне начального общего образования математические знания и умения применяются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 учебном плане на изучение математики в каждом классе начальной школы отводится 5 часов в неделю в 1-3 классах и 4 часа в неделю в 4 классе, всего 641часов. Из них: в 1 классе — 165 часов, во 2 классе — 170 часов, 3 классе — 170 часов, 4 классе — 136 часов.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Предметная область «Обществознание и естествознание (окружающий мир)» представлено предметом «Окружающий мир».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Программы воспитания, а также с учётом историко-культурного стандарта.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-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, обществоведческих, нравственно-этических понятий, представленных в содержании данного учебного предмета;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- развитие умений и навыков применять полученные знания в реальной учебной и жизненной практике, связанной как с поисково-исследовательской деятельностью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(наблюдения, опыты, трудовая деятельность), так и с творческим использованием приобретённых знаний в речевой, изобразительной, художественной деятельности;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мир», — 270 ч (два часа в неделю в каждом классе): 1 класс — 66 ч, 2 класс — 68 ч, 3 класс — 68 ч, 4 класс — 68 ч.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Предметная область «Искусство» представлена учебными предметами «Музыка» и «Изобразительное искусство»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объёме 1 ч одного учебного часа в неделю. Изучение содержания всех модулей в 1—4 классах обязательно.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«Изобразительное искусство», — 135 ч (один час в неделю в каждом классе).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1 класс — 33 ч, 2 класс — 34 ч, 3 класс — 34 ч, 4 класс — 34 ч.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>Программа 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1) становление системы ценностей обучающихся в единстве эмоциональной и познавательной сферы;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Важнейшими задачами в начальной школе являются: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1. Формирование эмоционально-ценностной отзывчивости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. Введение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ребёнка в искусство через разнообразие видов музыкальной деятельности, в том числе: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а) Слушание (воспитание грамотного слушателя);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б) Исполнение (пение, игра на доступных музыкальных инструментах);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в) Сочинение (элементы импровизации, композиции, аранжировки);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г) Музыкальное движение (пластическое интонирование, танец, двигательное моделирование и др.);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д) Исследовательские и творческие проекты.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«Музыка», — 135 ч (один час в неделю в каждом классе).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1 класс — 33 ч, 2 класс — 34 ч, 3 класс — 34 ч, 4 класс — 34 ч.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представлена предметом «Технология». 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Образовательные задачи курса: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-графической грамотности, умения работать с простейшей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>технологической документацией (рисунок, чертёж, эскиз, схема);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Согласно требованиям ФГОС общее число часов на изучение курса «Технология» в 1—4 классах — 135 (по 1 часу в неделю): 33 часа в 1 классе и по 34 часа во 2—4 классах.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культура».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 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(одобрено решением ФУМО от 02.06.2020 г.).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Целью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 упражнений оздоровительной, спортивной и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-ориентированной направленности и формирование у обучающихся основ здорового образа жизни.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коррекционной, дыхательной и 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 поступков в процессе совместной коллективной деятельности.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учебного предмета «Физическая культура» в начальной школе, составляет 240 ч (два часа в неделю в каждом классе): 1 класс — 66 ч; 2 класс — 68 ч; 3 класс — 68 ч; 4 класс — 68 ч.</w:t>
      </w:r>
      <w:proofErr w:type="gramEnd"/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 xml:space="preserve">3час реализуется за счет внеурочной деятельности и (или) за счет посещения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Предметная область «Основы религиозных культур и светской этики» (далее –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).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России от 31.05.2021 № 286), а также Примерной программы воспитания. Предметная область ОРКСЭ состоит из учебных модулей по выбору «Основы православной культуры», «Основы светской этики». В соответствии с федеральным законом выбор модуля осуществляется по заявлению родителей (законных представителей) несовершеннолетних обучающихся. Выбор установлен в ФЗ «Об образовании в РФ» (ч. 2 ст. 87.).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Основными задачами ОРКСЭ являются: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 развитие представлений, обучающихся о значении нравственных норм и ценностей в жизни личности, семьи, общества;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 xml:space="preserve">— развитие способностей, обучающихся к общению в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, разно-мировоззренческой и многоконфессиональной среде на основе взаимного уважения и диалога.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практике в религиозной общине (Письмо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России от 22.08.2012 №08–250 «О введении учебного курса ОРКСЭ»).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Место ОРКСЭ в учебном плане: ОРКСЭ изучается в 4 классе, один час в неделю (34 ч).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 В основной образовательной программе МАОУ «Гимназия №3» предусмотрены занятия по внеурочной деятельности. Организация занятий по направлениям внеурочной деятельности 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основной образовательной программы начального общего образования.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>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Для достижений целей для обучающихся начальных классов МАОУ «Гимназия №3» реализуется программа специально спроектированных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Pr="00CD18A1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объединенных по следующим направлениям внеурочной деятельности: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5. Информационная культура 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6. 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7. 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Выбор форм организации внеурочной деятельности подчиняется следующим требованиям: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—целесообразность использования данной формы для решения поставленных задач конкретного направления;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—преобладание практико-ориентированных форм, обеспечивающих непосредственное активное участие </w:t>
      </w:r>
      <w:proofErr w:type="gramStart"/>
      <w:r w:rsidRPr="00CD18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18A1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деятельности, в том числе совместной (парной, групповой, коллективной);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—учет специфики коммуникативной деятельности, которая сопровождает то или иное направление </w:t>
      </w:r>
      <w:proofErr w:type="spellStart"/>
      <w:r w:rsidRPr="00CD18A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—использование форм организации, предполагающих использование средств ИКТ.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внеурочная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Промежуточная аттестация начального общего образования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 (Закон "Об образовании в РФ", 273-ФЗ,  Глава 6,статья 58)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соответствии с календарным учебным графиком образовательного учреждения по предметам Учебного плана основного общего образования с учетом требований ФГОС НОО.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Целями проведения промежуточной аттестации являются: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- соотнесение этого уровня с требованиями ФГОС;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Промежуточная аттестация в МОАУ «Гимназия №3»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Промежуточная аттестация проводится со второго класса.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Фиксация результатов промежуточной аттестации осуществляется, как правило, по пятибалльной системе. </w:t>
      </w:r>
    </w:p>
    <w:p w:rsidR="00CD18A1" w:rsidRPr="00CD18A1" w:rsidRDefault="00CD18A1" w:rsidP="005F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один раз в год урочной и внеурочной деятельности. Формы, порядок промежуточной аттестации определяются в соответствии с Положением о промежуточной аттестации, решением Педагогического совета МОАУ «Гимназия № 3», приказом директора гимназии и доводятся до сведения всех участников образовательных отношений.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18A1" w:rsidRPr="00CD18A1">
          <w:footnotePr>
            <w:numRestart w:val="eachPage"/>
          </w:footnotePr>
          <w:pgSz w:w="7824" w:h="12019"/>
          <w:pgMar w:top="737" w:right="794" w:bottom="1134" w:left="794" w:header="720" w:footer="510" w:gutter="0"/>
          <w:cols w:space="720"/>
        </w:sect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A1">
        <w:rPr>
          <w:rFonts w:ascii="Times New Roman" w:hAnsi="Times New Roman" w:cs="Times New Roman"/>
          <w:sz w:val="24"/>
          <w:szCs w:val="24"/>
        </w:rPr>
        <w:lastRenderedPageBreak/>
        <w:t>Учебебный</w:t>
      </w:r>
      <w:proofErr w:type="spellEnd"/>
      <w:r w:rsidRPr="00CD18A1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 (Начальное общее образование)</w:t>
      </w:r>
    </w:p>
    <w:tbl>
      <w:tblPr>
        <w:tblW w:w="14685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1812"/>
        <w:gridCol w:w="1868"/>
        <w:gridCol w:w="317"/>
        <w:gridCol w:w="172"/>
        <w:gridCol w:w="111"/>
        <w:gridCol w:w="142"/>
        <w:gridCol w:w="725"/>
        <w:gridCol w:w="489"/>
        <w:gridCol w:w="489"/>
        <w:gridCol w:w="490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9"/>
        <w:gridCol w:w="490"/>
        <w:gridCol w:w="550"/>
        <w:gridCol w:w="550"/>
        <w:gridCol w:w="550"/>
        <w:gridCol w:w="550"/>
      </w:tblGrid>
      <w:tr w:rsidR="00CD18A1" w:rsidRPr="00CD18A1" w:rsidTr="00CD18A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0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часов в неделю</w:t>
            </w:r>
          </w:p>
        </w:tc>
      </w:tr>
      <w:tr w:rsidR="00CD18A1" w:rsidRPr="00CD18A1" w:rsidTr="00CD18A1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CD18A1" w:rsidRPr="00CD18A1" w:rsidTr="00CD18A1">
        <w:tc>
          <w:tcPr>
            <w:tcW w:w="14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D18A1" w:rsidRPr="00CD18A1" w:rsidTr="00CD18A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8A1" w:rsidRPr="00CD18A1" w:rsidTr="00CD18A1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8A1" w:rsidRPr="00CD18A1" w:rsidTr="00CD18A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18A1" w:rsidRPr="00CD18A1" w:rsidTr="00CD18A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18A1" w:rsidRPr="00CD18A1" w:rsidTr="00CD18A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18A1" w:rsidRPr="00CD18A1" w:rsidTr="00CD18A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br w:type="page"/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(недельный)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(Начальное общее образование)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75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D18A1" w:rsidRPr="00CD18A1" w:rsidTr="00CD18A1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D18A1" w:rsidRPr="00CD18A1" w:rsidTr="00CD1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Мое Оренбуржье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Занимательное языкознание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rPr>
          <w:trHeight w:val="6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Азбука дорог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D18A1" w:rsidRPr="00CD18A1" w:rsidTr="00CD18A1">
        <w:trPr>
          <w:trHeight w:val="6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rPr>
          <w:trHeight w:val="7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Объединение организаторов школьных праздников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CD18A1" w:rsidRPr="00CD18A1" w:rsidTr="00CD1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 xml:space="preserve">Промежуточная аттестация  МОАУ «Гимназия №3» 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1">
        <w:rPr>
          <w:rFonts w:ascii="Times New Roman" w:hAnsi="Times New Roman" w:cs="Times New Roman"/>
          <w:sz w:val="24"/>
          <w:szCs w:val="24"/>
        </w:rPr>
        <w:t>(Начальное общее образование)</w:t>
      </w:r>
    </w:p>
    <w:p w:rsidR="00CD18A1" w:rsidRPr="00CD18A1" w:rsidRDefault="00CD18A1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89"/>
        <w:gridCol w:w="2391"/>
        <w:gridCol w:w="3732"/>
      </w:tblGrid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CD18A1" w:rsidRPr="00CD18A1" w:rsidTr="00CD18A1">
        <w:trPr>
          <w:trHeight w:val="7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CD18A1" w:rsidRPr="00CD18A1" w:rsidTr="00CD18A1">
        <w:trPr>
          <w:trHeight w:val="7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D18A1" w:rsidRPr="00CD18A1" w:rsidTr="00CD18A1">
        <w:trPr>
          <w:trHeight w:val="55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Контрольная работа за второе полугодие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CD18A1" w:rsidRPr="00CD18A1" w:rsidTr="00CD18A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A1" w:rsidRPr="00CD18A1" w:rsidRDefault="00CD18A1" w:rsidP="00CD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A1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D18A1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</w:tbl>
    <w:p w:rsidR="002C139B" w:rsidRPr="00CD18A1" w:rsidRDefault="002C139B" w:rsidP="00C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39B" w:rsidRPr="00CD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5F" w:rsidRDefault="00DD4A5F" w:rsidP="00CD18A1">
      <w:pPr>
        <w:spacing w:after="0" w:line="240" w:lineRule="auto"/>
      </w:pPr>
      <w:r>
        <w:separator/>
      </w:r>
    </w:p>
  </w:endnote>
  <w:endnote w:type="continuationSeparator" w:id="0">
    <w:p w:rsidR="00DD4A5F" w:rsidRDefault="00DD4A5F" w:rsidP="00C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5F" w:rsidRDefault="00DD4A5F" w:rsidP="00CD18A1">
      <w:pPr>
        <w:spacing w:after="0" w:line="240" w:lineRule="auto"/>
      </w:pPr>
      <w:r>
        <w:separator/>
      </w:r>
    </w:p>
  </w:footnote>
  <w:footnote w:type="continuationSeparator" w:id="0">
    <w:p w:rsidR="00DD4A5F" w:rsidRDefault="00DD4A5F" w:rsidP="00CD18A1">
      <w:pPr>
        <w:spacing w:after="0" w:line="240" w:lineRule="auto"/>
      </w:pPr>
      <w:r>
        <w:continuationSeparator/>
      </w:r>
    </w:p>
  </w:footnote>
  <w:footnote w:id="1">
    <w:p w:rsidR="00CD18A1" w:rsidRPr="005A5393" w:rsidRDefault="00CD18A1" w:rsidP="00CD18A1">
      <w:r w:rsidRPr="005A5393">
        <w:footnoteRef/>
      </w:r>
      <w:r w:rsidRPr="005A5393">
        <w:tab/>
        <w:t>Утверждён приказом Министерства просвещения Российской Федерации от 31.05.2021 г. № 286 (зарегистрирован Министерством юстиции Российской Федерации 05.07.2021 г. № 64100).</w:t>
      </w:r>
    </w:p>
  </w:footnote>
  <w:footnote w:id="2">
    <w:p w:rsidR="00CD18A1" w:rsidRPr="005A5393" w:rsidRDefault="00CD18A1" w:rsidP="00CD18A1">
      <w:r w:rsidRPr="005A5393">
        <w:footnoteRef/>
      </w:r>
      <w:r w:rsidRPr="005A5393">
        <w:tab/>
      </w:r>
      <w:proofErr w:type="gramStart"/>
      <w:r w:rsidRPr="005A5393">
        <w:t>Одобрена</w:t>
      </w:r>
      <w:proofErr w:type="gramEnd"/>
      <w:r w:rsidRPr="005A5393">
        <w:t xml:space="preserve"> решением федерального учебно-методического объединения по общему образованию (протокол от 02.06.2020 г. № 2/20).</w:t>
      </w:r>
    </w:p>
  </w:footnote>
  <w:footnote w:id="3">
    <w:p w:rsidR="00CD18A1" w:rsidRPr="005A5393" w:rsidRDefault="00CD18A1" w:rsidP="00CD18A1">
      <w:r w:rsidRPr="005A5393">
        <w:footnoteRef/>
      </w:r>
      <w:r w:rsidRPr="005A5393">
        <w:tab/>
        <w:t>Утверждён приказом Министерства просвещения Российской Федерации от 31.05.2021 г. № 286 (зарегистрирован Министерством юстиции Российской Федерации 05.07.2021 г. № 64100).</w:t>
      </w:r>
    </w:p>
  </w:footnote>
  <w:footnote w:id="4">
    <w:p w:rsidR="00CD18A1" w:rsidRPr="005A5393" w:rsidRDefault="00CD18A1" w:rsidP="00CD18A1">
      <w:r w:rsidRPr="005A5393">
        <w:footnoteRef/>
      </w:r>
      <w:r w:rsidRPr="005A5393">
        <w:tab/>
      </w:r>
      <w:proofErr w:type="gramStart"/>
      <w:r w:rsidRPr="005A5393">
        <w:t>Одобрена</w:t>
      </w:r>
      <w:proofErr w:type="gramEnd"/>
      <w:r w:rsidRPr="005A5393">
        <w:t xml:space="preserve"> решением федерального учебно-методического объединения по общему образованию (протокол от 02.06.2020 г. № 2/20).</w:t>
      </w:r>
    </w:p>
  </w:footnote>
  <w:footnote w:id="5">
    <w:p w:rsidR="00CD18A1" w:rsidRPr="005A5393" w:rsidRDefault="00CD18A1" w:rsidP="00CD18A1">
      <w:r w:rsidRPr="005A5393">
        <w:footnoteRef/>
      </w:r>
      <w:r w:rsidRPr="005A5393">
        <w:tab/>
        <w:t>Содержание курса «Обучение грамоте» представлено в Примерной рабочей программе учебного предмета «Русский язык».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1"/>
    <w:rsid w:val="000613F6"/>
    <w:rsid w:val="002C139B"/>
    <w:rsid w:val="005F62A6"/>
    <w:rsid w:val="00801FF7"/>
    <w:rsid w:val="00B65421"/>
    <w:rsid w:val="00CD18A1"/>
    <w:rsid w:val="00D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6640</Words>
  <Characters>37853</Characters>
  <Application>Microsoft Office Word</Application>
  <DocSecurity>0</DocSecurity>
  <Lines>315</Lines>
  <Paragraphs>88</Paragraphs>
  <ScaleCrop>false</ScaleCrop>
  <Company/>
  <LinksUpToDate>false</LinksUpToDate>
  <CharactersWithSpaces>44405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2023-10-09T12:16:00Z</dcterms:created>
  <dcterms:modified xsi:type="dcterms:W3CDTF">2023-10-09T12:22:00Z</dcterms:modified>
</cp:coreProperties>
</file>